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29" w:rsidRPr="00C46529" w:rsidRDefault="00C46529" w:rsidP="00956625">
      <w:pPr>
        <w:autoSpaceDE w:val="0"/>
        <w:autoSpaceDN w:val="0"/>
        <w:adjustRightInd w:val="0"/>
        <w:spacing w:after="0" w:line="240" w:lineRule="auto"/>
        <w:jc w:val="both"/>
        <w:rPr>
          <w:rFonts w:cs="Arial"/>
          <w:b/>
          <w:bCs/>
          <w:sz w:val="23"/>
          <w:szCs w:val="23"/>
        </w:rPr>
      </w:pPr>
      <w:bookmarkStart w:id="0" w:name="_GoBack"/>
      <w:bookmarkEnd w:id="0"/>
      <w:r w:rsidRPr="00C46529">
        <w:rPr>
          <w:rFonts w:cs="Arial"/>
          <w:b/>
          <w:bCs/>
          <w:sz w:val="23"/>
          <w:szCs w:val="23"/>
        </w:rPr>
        <w:t>§ 2 Geltendmachung und Erlöschen des Anspruchs, Verjährung</w:t>
      </w:r>
    </w:p>
    <w:p w:rsidR="00C46529" w:rsidRPr="00C46529" w:rsidRDefault="00C46529" w:rsidP="00956625">
      <w:pPr>
        <w:autoSpaceDE w:val="0"/>
        <w:autoSpaceDN w:val="0"/>
        <w:adjustRightInd w:val="0"/>
        <w:spacing w:after="0" w:line="240" w:lineRule="auto"/>
        <w:jc w:val="both"/>
        <w:rPr>
          <w:rFonts w:cs="Arial"/>
          <w:b/>
          <w:bCs/>
          <w:sz w:val="23"/>
          <w:szCs w:val="23"/>
        </w:rPr>
      </w:pP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(1) Der Anspruch auf Vergütung oder Entschädigung erlischt, wenn er nicht binnen drei Monaten bei der Stelle, die den Berechtigten herangezogen oder beauftragt hat, geltend gemacht wird; hierüber und über den Beginn der Frist ist der Berechtigte zu belehren. Die Frist beginnt</w:t>
      </w:r>
    </w:p>
    <w:p w:rsidR="00C46529" w:rsidRPr="00C46529" w:rsidRDefault="00C46529" w:rsidP="00956625">
      <w:pPr>
        <w:autoSpaceDE w:val="0"/>
        <w:autoSpaceDN w:val="0"/>
        <w:adjustRightInd w:val="0"/>
        <w:spacing w:after="0" w:line="240" w:lineRule="auto"/>
        <w:jc w:val="both"/>
        <w:rPr>
          <w:rFonts w:cs="Arial"/>
          <w:sz w:val="23"/>
          <w:szCs w:val="23"/>
        </w:rPr>
      </w:pP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1.</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im Fall der schriftlichen Begutachtung oder der Anfertigung einer Übersetzung mit</w:t>
      </w:r>
      <w:r w:rsidR="00956625">
        <w:rPr>
          <w:rFonts w:cs="Arial"/>
          <w:sz w:val="23"/>
          <w:szCs w:val="23"/>
        </w:rPr>
        <w:t xml:space="preserve"> </w:t>
      </w:r>
      <w:r w:rsidRPr="00C46529">
        <w:rPr>
          <w:rFonts w:cs="Arial"/>
          <w:sz w:val="23"/>
          <w:szCs w:val="23"/>
        </w:rPr>
        <w:t>Eingang des Gutachtens oder der Übersetzung bei der Stelle, die den Berechtigten beauftragt hat,</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2.</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im Fall der Vernehmung als Sachverständiger oder Zeuge oder der Zuziehung als</w:t>
      </w:r>
      <w:r w:rsidR="00956625">
        <w:rPr>
          <w:rFonts w:cs="Arial"/>
          <w:sz w:val="23"/>
          <w:szCs w:val="23"/>
        </w:rPr>
        <w:t xml:space="preserve"> </w:t>
      </w:r>
      <w:r w:rsidRPr="00C46529">
        <w:rPr>
          <w:rFonts w:cs="Arial"/>
          <w:sz w:val="23"/>
          <w:szCs w:val="23"/>
        </w:rPr>
        <w:t>Dolmetscher mit Beendigung der Vernehmung oder Zuziehung,</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3.</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bei vorzeitiger Beendigung der Heranziehung oder des Auftrags in den Fällen der</w:t>
      </w:r>
      <w:r w:rsidR="00956625">
        <w:rPr>
          <w:rFonts w:cs="Arial"/>
          <w:sz w:val="23"/>
          <w:szCs w:val="23"/>
        </w:rPr>
        <w:t xml:space="preserve"> </w:t>
      </w:r>
      <w:r w:rsidRPr="00C46529">
        <w:rPr>
          <w:rFonts w:cs="Arial"/>
          <w:sz w:val="23"/>
          <w:szCs w:val="23"/>
        </w:rPr>
        <w:t>Nummern 1 und 2 mit der Bekanntgabe der Erledigung an den Berechtigten,</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4.</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in den Fällen des § 23 mit Beendigung der Maßnahme und</w:t>
      </w:r>
    </w:p>
    <w:p w:rsidR="00C46529"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5.</w:t>
      </w:r>
    </w:p>
    <w:p w:rsid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im Fall der Dienstleistung als ehrenamtlicher Richter oder Mitglied eines Ausschusses</w:t>
      </w:r>
      <w:r w:rsidR="00956625">
        <w:rPr>
          <w:rFonts w:cs="Arial"/>
          <w:sz w:val="23"/>
          <w:szCs w:val="23"/>
        </w:rPr>
        <w:t xml:space="preserve"> </w:t>
      </w:r>
      <w:r w:rsidRPr="00C46529">
        <w:rPr>
          <w:rFonts w:cs="Arial"/>
          <w:sz w:val="23"/>
          <w:szCs w:val="23"/>
        </w:rPr>
        <w:t>im Sinne des § 1 Abs. 4 mit Beendigung der Amtsperiode, jedoch nicht vor dem Ende</w:t>
      </w:r>
      <w:r w:rsidR="00956625">
        <w:rPr>
          <w:rFonts w:cs="Arial"/>
          <w:sz w:val="23"/>
          <w:szCs w:val="23"/>
        </w:rPr>
        <w:t xml:space="preserve"> </w:t>
      </w:r>
      <w:r w:rsidRPr="00C46529">
        <w:rPr>
          <w:rFonts w:cs="Arial"/>
          <w:sz w:val="23"/>
          <w:szCs w:val="23"/>
        </w:rPr>
        <w:t>der Amtstätigkeit.</w:t>
      </w:r>
    </w:p>
    <w:p w:rsidR="00956625" w:rsidRPr="00C46529" w:rsidRDefault="00956625" w:rsidP="00956625">
      <w:pPr>
        <w:autoSpaceDE w:val="0"/>
        <w:autoSpaceDN w:val="0"/>
        <w:adjustRightInd w:val="0"/>
        <w:spacing w:after="0" w:line="240" w:lineRule="auto"/>
        <w:jc w:val="both"/>
        <w:rPr>
          <w:rFonts w:cs="Arial"/>
          <w:sz w:val="23"/>
          <w:szCs w:val="23"/>
        </w:rPr>
      </w:pPr>
    </w:p>
    <w:p w:rsid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Wird der Berechtigte in den Fällen des Satzes 2 Nummer 1 und 2 in demselben Verfahren, im gerichtlichen Verfahren in demselben Rechtszug, mehrfach herangezogen, ist für den Beginn aller Fristen die letzte Heranziehung maßgebend. Die Frist kann auf begründeten Antrag von der in Satz 1 genannten Stelle verlängert werden; lehnt sie eine Verlängerung ab, hat sie den Antrag unverzüglich dem nach § 4 Abs. 1 für die Festsetzung der Vergütung oder Entschädigung zuständigen Gericht vorzulegen, das durch unanfechtbaren Beschluss entscheidet. Weist das Gericht den Antrag zurück, erlischt der Anspruch, wenn die Frist nach Satz 1 abgelaufen und der Anspruch nicht binnen zwei Wochen ab Bekanntgabe der Entscheidung bei der in Satz 1 genannten Stelle geltend gemacht worden ist.</w:t>
      </w:r>
    </w:p>
    <w:p w:rsidR="00956625" w:rsidRPr="00C46529" w:rsidRDefault="00956625" w:rsidP="00956625">
      <w:pPr>
        <w:autoSpaceDE w:val="0"/>
        <w:autoSpaceDN w:val="0"/>
        <w:adjustRightInd w:val="0"/>
        <w:spacing w:after="0" w:line="240" w:lineRule="auto"/>
        <w:jc w:val="both"/>
        <w:rPr>
          <w:rFonts w:cs="Arial"/>
          <w:sz w:val="23"/>
          <w:szCs w:val="23"/>
        </w:rPr>
      </w:pPr>
    </w:p>
    <w:p w:rsid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(2) War der Berechtigte ohne sein Verschulden an der Einhaltung einer Frist nach Absatz 1 gehindert, gewährt ihm das Gericht auf Antrag Wiedereinsetzung in den vorigen Stand, wenn er innerhalb von zwei Wochen nach Beseitigung des Hindernisses den Anspruch beziffert und die Tatsachen glaubhaft macht, welche die Wiedereinsetzung begründen. Ein Fehlen des Verschuldens wird vermutet, wenn eine Belehrung nach Absatz 1 Satz 1 unterblieben oder fehlerhaft ist. Nach Ablauf eines Jahres, von dem Ende der versäumten Frist an gerechnet, kann die Wiedereinsetzung nicht mehr beantragt werden. Gegen die Ablehnung der Wiedereinsetzung findet die Beschwerde statt. Sie ist nur zulässig, wenn sie innerhalb von zwei Wochen eingelegt wird. Die Frist beginnt mit der Zustellung der Entscheidung. § 4 Abs. 4 Satz 1 bis 3 und Abs. 6 bis 8 ist entsprechend anzuwenden.</w:t>
      </w:r>
    </w:p>
    <w:p w:rsidR="00956625" w:rsidRPr="00C46529" w:rsidRDefault="00956625" w:rsidP="00956625">
      <w:pPr>
        <w:autoSpaceDE w:val="0"/>
        <w:autoSpaceDN w:val="0"/>
        <w:adjustRightInd w:val="0"/>
        <w:spacing w:after="0" w:line="240" w:lineRule="auto"/>
        <w:jc w:val="both"/>
        <w:rPr>
          <w:rFonts w:cs="Arial"/>
          <w:sz w:val="23"/>
          <w:szCs w:val="23"/>
        </w:rPr>
      </w:pPr>
    </w:p>
    <w:p w:rsid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(3) Der Anspruch auf Vergütung oder Entschädigung verjährt in drei Jahren nach Ablauf des Kalenderjahrs, in dem der nach Absatz 1 Satz 2 Nr. 1 bis 4 maßgebliche Zeitpunkt eingetreten ist. Auf die Verjährung sind die Vorschriften des Bürgerlichen Gesetzbuchs anzuwenden. Durch den Antrag auf gerichtliche Festsetzung (§ 4) wird die Verjährung wie durch Klageerhebung gehemmt. Die Verjährung wird nicht von Amts wegen berücksichtigt.</w:t>
      </w:r>
    </w:p>
    <w:p w:rsidR="00956625" w:rsidRPr="00C46529" w:rsidRDefault="00956625" w:rsidP="00956625">
      <w:pPr>
        <w:autoSpaceDE w:val="0"/>
        <w:autoSpaceDN w:val="0"/>
        <w:adjustRightInd w:val="0"/>
        <w:spacing w:after="0" w:line="240" w:lineRule="auto"/>
        <w:jc w:val="both"/>
        <w:rPr>
          <w:rFonts w:cs="Arial"/>
          <w:sz w:val="23"/>
          <w:szCs w:val="23"/>
        </w:rPr>
      </w:pPr>
    </w:p>
    <w:p w:rsidR="00EA05FE" w:rsidRPr="00C46529" w:rsidRDefault="00C46529" w:rsidP="00956625">
      <w:pPr>
        <w:autoSpaceDE w:val="0"/>
        <w:autoSpaceDN w:val="0"/>
        <w:adjustRightInd w:val="0"/>
        <w:spacing w:after="0" w:line="240" w:lineRule="auto"/>
        <w:jc w:val="both"/>
        <w:rPr>
          <w:rFonts w:cs="Arial"/>
          <w:sz w:val="23"/>
          <w:szCs w:val="23"/>
        </w:rPr>
      </w:pPr>
      <w:r w:rsidRPr="00C46529">
        <w:rPr>
          <w:rFonts w:cs="Arial"/>
          <w:sz w:val="23"/>
          <w:szCs w:val="23"/>
        </w:rPr>
        <w:t>(4) Der Anspruch auf Erstattung zu viel gezahlter Vergütung oder Entschädigung verjährt in drei Jahren nach Ablauf des Kalenderjahrs, in dem die Zahlung erfolgt ist. § 5 Abs. 3 des Gerichtskostengesetzes gilt entsprechend.</w:t>
      </w:r>
    </w:p>
    <w:sectPr w:rsidR="00EA05FE" w:rsidRPr="00C46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29"/>
    <w:rsid w:val="005E1254"/>
    <w:rsid w:val="005F32BC"/>
    <w:rsid w:val="00691E6E"/>
    <w:rsid w:val="00790A62"/>
    <w:rsid w:val="008C2B7A"/>
    <w:rsid w:val="00956625"/>
    <w:rsid w:val="00AD61C0"/>
    <w:rsid w:val="00C46529"/>
    <w:rsid w:val="00EA0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FE617-23CB-4011-BAFF-BA0AC95A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3360729E.dotm</Template>
  <TotalTime>0</TotalTime>
  <Pages>1</Pages>
  <Words>458</Words>
  <Characters>2891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BrauersH</dc:creator>
  <cp:keywords/>
  <dc:description/>
  <cp:lastModifiedBy>PetersA2</cp:lastModifiedBy>
  <cp:revision>2</cp:revision>
  <dcterms:created xsi:type="dcterms:W3CDTF">2019-08-22T08:57:00Z</dcterms:created>
  <dcterms:modified xsi:type="dcterms:W3CDTF">2019-08-22T08:57:00Z</dcterms:modified>
</cp:coreProperties>
</file>